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jc w:val="center"/>
        <w:rPr>
          <w:rFonts w:ascii="Times New Roman" w:hAnsi="Times New Roman"/>
          <w:b/>
          <w:b/>
          <w:sz w:val="18"/>
          <w:szCs w:val="18"/>
        </w:rPr>
      </w:pPr>
      <w:r>
        <w:rPr>
          <w:rFonts w:ascii="Times New Roman" w:hAnsi="Times New Roman"/>
          <w:b/>
          <w:sz w:val="18"/>
          <w:szCs w:val="18"/>
        </w:rPr>
      </w:r>
    </w:p>
    <w:p>
      <w:pPr>
        <w:pStyle w:val="PlainText"/>
        <w:jc w:val="center"/>
        <w:rPr>
          <w:rFonts w:ascii="Times New Roman" w:hAnsi="Times New Roman"/>
          <w:b/>
          <w:b/>
          <w:sz w:val="18"/>
          <w:szCs w:val="18"/>
        </w:rPr>
      </w:pPr>
      <w:r>
        <w:rPr>
          <w:rFonts w:ascii="Times New Roman" w:hAnsi="Times New Roman"/>
          <w:b/>
          <w:sz w:val="18"/>
          <w:szCs w:val="18"/>
        </w:rPr>
        <w:t xml:space="preserve">ДОГОВОР № </w:t>
      </w:r>
    </w:p>
    <w:p>
      <w:pPr>
        <w:pStyle w:val="PlainText"/>
        <w:jc w:val="both"/>
        <w:rPr>
          <w:rFonts w:ascii="Times New Roman" w:hAnsi="Times New Roman"/>
          <w:sz w:val="18"/>
          <w:szCs w:val="18"/>
        </w:rPr>
      </w:pPr>
      <w:r>
        <w:rPr>
          <w:rFonts w:ascii="Times New Roman" w:hAnsi="Times New Roman"/>
          <w:sz w:val="18"/>
          <w:szCs w:val="18"/>
        </w:rPr>
        <w:t>« _____ » _________  202__г.                                                                                                                                                г. Гомель</w:t>
      </w:r>
    </w:p>
    <w:p>
      <w:pPr>
        <w:pStyle w:val="PlainText"/>
        <w:jc w:val="both"/>
        <w:rPr>
          <w:rFonts w:ascii="Times New Roman" w:hAnsi="Times New Roman"/>
          <w:sz w:val="18"/>
          <w:szCs w:val="18"/>
        </w:rPr>
      </w:pPr>
      <w:r>
        <w:rPr>
          <w:rFonts w:ascii="Times New Roman" w:hAnsi="Times New Roman"/>
          <w:sz w:val="18"/>
          <w:szCs w:val="18"/>
        </w:rPr>
      </w:r>
    </w:p>
    <w:p>
      <w:pPr>
        <w:pStyle w:val="PlainText"/>
        <w:ind w:firstLine="450"/>
        <w:jc w:val="both"/>
        <w:rPr>
          <w:rFonts w:ascii="Times New Roman" w:hAnsi="Times New Roman"/>
          <w:sz w:val="17"/>
          <w:szCs w:val="17"/>
        </w:rPr>
      </w:pPr>
      <w:r>
        <w:rPr>
          <w:rFonts w:ascii="Times New Roman" w:hAnsi="Times New Roman"/>
          <w:b/>
          <w:bCs/>
          <w:sz w:val="17"/>
          <w:szCs w:val="17"/>
        </w:rPr>
        <w:t xml:space="preserve"> </w:t>
      </w:r>
      <w:r>
        <w:rPr>
          <w:rFonts w:ascii="Times New Roman" w:hAnsi="Times New Roman"/>
          <w:b/>
          <w:bCs/>
          <w:sz w:val="17"/>
          <w:szCs w:val="17"/>
        </w:rPr>
        <w:t>ООО «АльфаБел-групп»</w:t>
      </w:r>
      <w:r>
        <w:rPr>
          <w:rFonts w:ascii="Times New Roman" w:hAnsi="Times New Roman"/>
          <w:sz w:val="17"/>
          <w:szCs w:val="17"/>
        </w:rPr>
        <w:t xml:space="preserve">, именуемое в дальнейшем “Поставщик”, в лице директора  Чешейко Александра Викторовича, действующего  на основании Устава,  с одной стороны, и </w:t>
      </w:r>
    </w:p>
    <w:p>
      <w:pPr>
        <w:pStyle w:val="Style21"/>
        <w:tabs>
          <w:tab w:val="clear" w:pos="708"/>
          <w:tab w:val="left" w:pos="4600" w:leader="none"/>
          <w:tab w:val="center" w:pos="5032" w:leader="none"/>
          <w:tab w:val="left" w:pos="6260" w:leader="none"/>
          <w:tab w:val="right" w:pos="10065" w:leader="none"/>
        </w:tabs>
        <w:rPr>
          <w:b w:val="false"/>
          <w:b w:val="false"/>
          <w:bCs/>
          <w:sz w:val="17"/>
          <w:szCs w:val="17"/>
        </w:rPr>
      </w:pPr>
      <w:r>
        <w:rPr>
          <w:sz w:val="17"/>
          <w:szCs w:val="17"/>
        </w:rPr>
        <w:t>_________________________________________________</w:t>
      </w:r>
      <w:r>
        <w:rPr>
          <w:b w:val="false"/>
          <w:sz w:val="17"/>
          <w:szCs w:val="17"/>
        </w:rPr>
        <w:t>,</w:t>
      </w:r>
      <w:r>
        <w:rPr>
          <w:sz w:val="17"/>
          <w:szCs w:val="17"/>
        </w:rPr>
        <w:t xml:space="preserve"> </w:t>
      </w:r>
      <w:r>
        <w:rPr>
          <w:b w:val="false"/>
          <w:sz w:val="17"/>
          <w:szCs w:val="17"/>
        </w:rPr>
        <w:t xml:space="preserve">именуемое  в дальнейшем “Покупатель”,  в лице </w:t>
      </w:r>
      <w:r>
        <w:rPr>
          <w:b w:val="false"/>
          <w:kern w:val="2"/>
          <w:sz w:val="17"/>
          <w:szCs w:val="17"/>
        </w:rPr>
        <w:t>_________________________________________________, действующего на основании ______________________________________</w:t>
      </w:r>
      <w:r>
        <w:rPr>
          <w:b w:val="false"/>
          <w:sz w:val="17"/>
          <w:szCs w:val="17"/>
        </w:rPr>
        <w:t>, заключили настоящий Договор о нижеследующем:</w:t>
      </w:r>
    </w:p>
    <w:p>
      <w:pPr>
        <w:pStyle w:val="PlainText"/>
        <w:numPr>
          <w:ilvl w:val="0"/>
          <w:numId w:val="1"/>
        </w:numPr>
        <w:jc w:val="both"/>
        <w:rPr>
          <w:rFonts w:ascii="Times New Roman" w:hAnsi="Times New Roman"/>
          <w:b/>
          <w:b/>
          <w:sz w:val="17"/>
          <w:szCs w:val="17"/>
        </w:rPr>
      </w:pPr>
      <w:r>
        <w:rPr>
          <w:rFonts w:ascii="Times New Roman" w:hAnsi="Times New Roman"/>
          <w:b/>
          <w:sz w:val="17"/>
          <w:szCs w:val="17"/>
        </w:rPr>
        <w:t>ПРЕДМЕТ ДОГОВОРА.</w:t>
      </w:r>
    </w:p>
    <w:p>
      <w:pPr>
        <w:pStyle w:val="PlainText"/>
        <w:numPr>
          <w:ilvl w:val="1"/>
          <w:numId w:val="1"/>
        </w:numPr>
        <w:ind w:left="0" w:hanging="0"/>
        <w:jc w:val="both"/>
        <w:rPr>
          <w:rFonts w:ascii="Times New Roman" w:hAnsi="Times New Roman"/>
          <w:sz w:val="17"/>
          <w:szCs w:val="17"/>
        </w:rPr>
      </w:pPr>
      <w:r>
        <w:rPr>
          <w:rFonts w:ascii="Times New Roman" w:hAnsi="Times New Roman"/>
          <w:sz w:val="17"/>
          <w:szCs w:val="17"/>
        </w:rPr>
        <w:t>По настоящему Договору Поставщик обязуется поставлять Покупателю, а Покупатель обязуется принимать и оплачивать товар в ассортименте, количестве и по ценам согласно товарно-транспортной (товарной) накладной. Накладная служит подтверждением согласованного уровня цены.</w:t>
      </w:r>
    </w:p>
    <w:p>
      <w:pPr>
        <w:pStyle w:val="Normal"/>
        <w:numPr>
          <w:ilvl w:val="1"/>
          <w:numId w:val="1"/>
        </w:numPr>
        <w:ind w:left="0" w:hanging="0"/>
        <w:jc w:val="both"/>
        <w:rPr>
          <w:sz w:val="17"/>
          <w:szCs w:val="17"/>
        </w:rPr>
      </w:pPr>
      <w:r>
        <w:rPr>
          <w:sz w:val="17"/>
          <w:szCs w:val="17"/>
        </w:rPr>
        <w:t>Цель приобретения товара</w:t>
      </w:r>
      <w:r>
        <w:rPr>
          <w:b/>
          <w:sz w:val="17"/>
          <w:szCs w:val="17"/>
        </w:rPr>
        <w:t xml:space="preserve"> – </w:t>
      </w:r>
      <w:r>
        <w:rPr>
          <w:sz w:val="17"/>
          <w:szCs w:val="17"/>
        </w:rPr>
        <w:t>_____________________________________________.</w:t>
      </w:r>
    </w:p>
    <w:p>
      <w:pPr>
        <w:pStyle w:val="PlainText"/>
        <w:numPr>
          <w:ilvl w:val="0"/>
          <w:numId w:val="1"/>
        </w:numPr>
        <w:jc w:val="both"/>
        <w:rPr>
          <w:rFonts w:ascii="Times New Roman" w:hAnsi="Times New Roman"/>
          <w:b/>
          <w:b/>
          <w:sz w:val="17"/>
          <w:szCs w:val="17"/>
        </w:rPr>
      </w:pPr>
      <w:r>
        <w:rPr>
          <w:rFonts w:ascii="Times New Roman" w:hAnsi="Times New Roman"/>
          <w:b/>
          <w:sz w:val="17"/>
          <w:szCs w:val="17"/>
        </w:rPr>
        <w:t>УСЛОВИЯ ПОСТАВКИ ТОВАРА.</w:t>
      </w:r>
    </w:p>
    <w:p>
      <w:pPr>
        <w:pStyle w:val="Style26"/>
        <w:numPr>
          <w:ilvl w:val="1"/>
          <w:numId w:val="1"/>
        </w:numPr>
        <w:tabs>
          <w:tab w:val="clear" w:pos="4153"/>
          <w:tab w:val="clear" w:pos="8306"/>
        </w:tabs>
        <w:ind w:left="0" w:hanging="0"/>
        <w:jc w:val="both"/>
        <w:rPr>
          <w:sz w:val="17"/>
          <w:szCs w:val="17"/>
        </w:rPr>
      </w:pPr>
      <w:r>
        <w:rPr>
          <w:sz w:val="17"/>
          <w:szCs w:val="17"/>
        </w:rPr>
        <w:t>Поставка товара производится в согласованный сторонами срок. Датой отгрузки товара является дата товарно-транспортной (товарной) накладной.</w:t>
      </w:r>
    </w:p>
    <w:p>
      <w:pPr>
        <w:pStyle w:val="Style26"/>
        <w:numPr>
          <w:ilvl w:val="1"/>
          <w:numId w:val="1"/>
        </w:numPr>
        <w:tabs>
          <w:tab w:val="clear" w:pos="4153"/>
          <w:tab w:val="clear" w:pos="8306"/>
        </w:tabs>
        <w:ind w:left="0" w:hanging="0"/>
        <w:jc w:val="both"/>
        <w:rPr>
          <w:sz w:val="17"/>
          <w:szCs w:val="17"/>
        </w:rPr>
      </w:pPr>
      <w:r>
        <w:rPr>
          <w:sz w:val="17"/>
          <w:szCs w:val="17"/>
        </w:rPr>
        <w:t>Поставка товара осуществляется путем предоставления товара в распоряжение Покупателя в месте нахождения Поставщика (самовывоз).</w:t>
      </w:r>
    </w:p>
    <w:p>
      <w:pPr>
        <w:pStyle w:val="Style26"/>
        <w:numPr>
          <w:ilvl w:val="1"/>
          <w:numId w:val="1"/>
        </w:numPr>
        <w:tabs>
          <w:tab w:val="clear" w:pos="4153"/>
          <w:tab w:val="clear" w:pos="8306"/>
        </w:tabs>
        <w:ind w:left="0" w:hanging="0"/>
        <w:jc w:val="both"/>
        <w:rPr>
          <w:sz w:val="17"/>
          <w:szCs w:val="17"/>
        </w:rPr>
      </w:pPr>
      <w:r>
        <w:rPr>
          <w:sz w:val="17"/>
          <w:szCs w:val="17"/>
        </w:rPr>
        <w:t>Качество поставляемого товара должно соответствовать ТУ завода изготовителя. Приемка товара по количеству и качеству производится Покупателем в момент получения товара на складе Поставщика в порядке, установленном Положением о приемке товара по количеству и качеству.</w:t>
      </w:r>
    </w:p>
    <w:p>
      <w:pPr>
        <w:pStyle w:val="Style26"/>
        <w:numPr>
          <w:ilvl w:val="1"/>
          <w:numId w:val="1"/>
        </w:numPr>
        <w:tabs>
          <w:tab w:val="clear" w:pos="4153"/>
          <w:tab w:val="clear" w:pos="8306"/>
        </w:tabs>
        <w:ind w:left="0" w:hanging="0"/>
        <w:jc w:val="both"/>
        <w:rPr>
          <w:sz w:val="17"/>
          <w:szCs w:val="17"/>
        </w:rPr>
      </w:pPr>
      <w:r>
        <w:rPr>
          <w:sz w:val="17"/>
          <w:szCs w:val="17"/>
        </w:rPr>
        <w:t>Покупатель вправе предъявить требования, связанные с недостатками товара, при условии, что они обнаружены им не позднее 5 дней с момента получения товара на складе Поставщика. В таком случае бракованный товар может быть возвращен Поставщику.</w:t>
      </w:r>
    </w:p>
    <w:p>
      <w:pPr>
        <w:pStyle w:val="Style26"/>
        <w:numPr>
          <w:ilvl w:val="1"/>
          <w:numId w:val="1"/>
        </w:numPr>
        <w:tabs>
          <w:tab w:val="clear" w:pos="4153"/>
          <w:tab w:val="clear" w:pos="8306"/>
        </w:tabs>
        <w:ind w:left="0" w:hanging="0"/>
        <w:jc w:val="both"/>
        <w:rPr>
          <w:sz w:val="17"/>
          <w:szCs w:val="17"/>
        </w:rPr>
      </w:pPr>
      <w:r>
        <w:rPr>
          <w:sz w:val="17"/>
          <w:szCs w:val="17"/>
        </w:rPr>
        <w:t>Покупатель обязан письменно известить Поставщика о нарушении условий договора о количестве, ассортименте, комплектности товара, таре и (или) упаковке не позднее 5 дней с момента получения товара на складе Поставщика. В случае невыполнения Покупателем данного условия Поставщик вправе отказаться полностью или частично от удовлетворения соответствующих требований Покупателя.</w:t>
      </w:r>
    </w:p>
    <w:p>
      <w:pPr>
        <w:pStyle w:val="PlainText"/>
        <w:numPr>
          <w:ilvl w:val="0"/>
          <w:numId w:val="1"/>
        </w:numPr>
        <w:jc w:val="both"/>
        <w:rPr>
          <w:rFonts w:ascii="Times New Roman" w:hAnsi="Times New Roman"/>
          <w:b/>
          <w:b/>
          <w:sz w:val="17"/>
          <w:szCs w:val="17"/>
        </w:rPr>
      </w:pPr>
      <w:r>
        <w:rPr>
          <w:rFonts w:ascii="Times New Roman" w:hAnsi="Times New Roman"/>
          <w:b/>
          <w:sz w:val="17"/>
          <w:szCs w:val="17"/>
        </w:rPr>
        <w:t>УСЛОВИЯ ОПЛАТЫ ТОВАРА.</w:t>
      </w:r>
    </w:p>
    <w:p>
      <w:pPr>
        <w:pStyle w:val="Style26"/>
        <w:numPr>
          <w:ilvl w:val="1"/>
          <w:numId w:val="1"/>
        </w:numPr>
        <w:tabs>
          <w:tab w:val="clear" w:pos="4153"/>
          <w:tab w:val="clear" w:pos="8306"/>
        </w:tabs>
        <w:ind w:left="0" w:hanging="0"/>
        <w:jc w:val="both"/>
        <w:rPr>
          <w:sz w:val="17"/>
          <w:szCs w:val="17"/>
        </w:rPr>
      </w:pPr>
      <w:r>
        <w:rPr>
          <w:sz w:val="17"/>
          <w:szCs w:val="17"/>
        </w:rPr>
        <w:t xml:space="preserve">Покупатель производит оплату каждой отгруженной партии товара, оформленной отдельной товарно-транспортной (товарной) накладной, не позднее 15 (пятнадцати)  календарных дней с момента ее отгрузки. Датой оплаты товара является дата зачисления денежных средств на расчетный счет Поставщика. </w:t>
      </w:r>
    </w:p>
    <w:p>
      <w:pPr>
        <w:pStyle w:val="Normal"/>
        <w:numPr>
          <w:ilvl w:val="1"/>
          <w:numId w:val="1"/>
        </w:numPr>
        <w:ind w:left="0" w:hanging="0"/>
        <w:jc w:val="both"/>
        <w:rPr>
          <w:sz w:val="17"/>
          <w:szCs w:val="17"/>
        </w:rPr>
      </w:pPr>
      <w:r>
        <w:rPr>
          <w:sz w:val="17"/>
          <w:szCs w:val="17"/>
        </w:rPr>
        <w:t>Поставщик вправе в одностороннем порядке отказаться от исполнения настоящего Договора в случае однократного нарушения Покупателем срока оплаты товара. В таком случае договор поставки считается расторгнутым с момента получения Покупателем уведомления Поставщика об одностороннем отказе от исполнения договора.</w:t>
      </w:r>
    </w:p>
    <w:p>
      <w:pPr>
        <w:pStyle w:val="Style21"/>
        <w:numPr>
          <w:ilvl w:val="1"/>
          <w:numId w:val="1"/>
        </w:numPr>
        <w:rPr>
          <w:b w:val="false"/>
          <w:b w:val="false"/>
          <w:sz w:val="17"/>
          <w:szCs w:val="17"/>
        </w:rPr>
      </w:pPr>
      <w:r>
        <w:rPr>
          <w:b w:val="false"/>
          <w:sz w:val="17"/>
          <w:szCs w:val="17"/>
        </w:rPr>
        <w:t xml:space="preserve">По соглашению сторон возможна оплата по договорам уступки права требования (договорам перевода долга), которые должны быть заключены не позднее 5 (пяти) банковских дней с момента отгрузки, а так же другие формы расчетов, не противоречащие законодательству РБ.  </w:t>
      </w:r>
    </w:p>
    <w:p>
      <w:pPr>
        <w:pStyle w:val="PlainText"/>
        <w:numPr>
          <w:ilvl w:val="0"/>
          <w:numId w:val="1"/>
        </w:numPr>
        <w:jc w:val="both"/>
        <w:rPr>
          <w:rFonts w:ascii="Times New Roman" w:hAnsi="Times New Roman"/>
          <w:b/>
          <w:b/>
          <w:sz w:val="17"/>
          <w:szCs w:val="17"/>
        </w:rPr>
      </w:pPr>
      <w:r>
        <w:rPr>
          <w:rFonts w:ascii="Times New Roman" w:hAnsi="Times New Roman"/>
          <w:b/>
          <w:sz w:val="17"/>
          <w:szCs w:val="17"/>
        </w:rPr>
        <w:t>ОТВЕТСТВЕННОСТЬ СТОРОН.</w:t>
      </w:r>
    </w:p>
    <w:p>
      <w:pPr>
        <w:pStyle w:val="PlainText"/>
        <w:numPr>
          <w:ilvl w:val="1"/>
          <w:numId w:val="1"/>
        </w:numPr>
        <w:ind w:left="0" w:hanging="0"/>
        <w:jc w:val="both"/>
        <w:rPr>
          <w:rFonts w:ascii="Times New Roman" w:hAnsi="Times New Roman"/>
          <w:sz w:val="17"/>
          <w:szCs w:val="17"/>
        </w:rPr>
      </w:pPr>
      <w:r>
        <w:rPr>
          <w:rFonts w:ascii="Times New Roman" w:hAnsi="Times New Roman"/>
          <w:sz w:val="17"/>
          <w:szCs w:val="17"/>
        </w:rPr>
        <w:t>За просрочку поставки товара Поставщик уплачивает Покупателю за каждый день просрочки пеню в размере 0,15 процента от суммы не поставленного в срок товара.</w:t>
      </w:r>
    </w:p>
    <w:p>
      <w:pPr>
        <w:pStyle w:val="PlainText"/>
        <w:numPr>
          <w:ilvl w:val="1"/>
          <w:numId w:val="1"/>
        </w:numPr>
        <w:ind w:left="0" w:hanging="0"/>
        <w:jc w:val="both"/>
        <w:rPr>
          <w:rFonts w:ascii="Times New Roman" w:hAnsi="Times New Roman"/>
          <w:sz w:val="17"/>
          <w:szCs w:val="17"/>
        </w:rPr>
      </w:pPr>
      <w:r>
        <w:rPr>
          <w:rFonts w:ascii="Times New Roman" w:hAnsi="Times New Roman"/>
          <w:sz w:val="17"/>
          <w:szCs w:val="17"/>
        </w:rPr>
        <w:t>За просрочку оплаты товара Покупатель уплачивает Поставщику за каждый день просрочки пеню в размере 0,15 процента от просроченной суммы.</w:t>
      </w:r>
    </w:p>
    <w:p>
      <w:pPr>
        <w:pStyle w:val="PlainText"/>
        <w:numPr>
          <w:ilvl w:val="0"/>
          <w:numId w:val="1"/>
        </w:numPr>
        <w:jc w:val="both"/>
        <w:rPr>
          <w:rFonts w:ascii="Times New Roman" w:hAnsi="Times New Roman"/>
          <w:b/>
          <w:b/>
          <w:sz w:val="17"/>
          <w:szCs w:val="17"/>
        </w:rPr>
      </w:pPr>
      <w:r>
        <w:rPr>
          <w:rFonts w:ascii="Times New Roman" w:hAnsi="Times New Roman"/>
          <w:b/>
          <w:sz w:val="17"/>
          <w:szCs w:val="17"/>
        </w:rPr>
        <w:t>ОБСТОЯТЕЛЬСТВА НЕПРЕОДОЛИМОЙ СИЛЫ.</w:t>
      </w:r>
    </w:p>
    <w:p>
      <w:pPr>
        <w:pStyle w:val="PlainText"/>
        <w:numPr>
          <w:ilvl w:val="1"/>
          <w:numId w:val="1"/>
        </w:numPr>
        <w:ind w:left="0" w:hanging="0"/>
        <w:jc w:val="both"/>
        <w:rPr>
          <w:rFonts w:ascii="Times New Roman" w:hAnsi="Times New Roman"/>
          <w:sz w:val="17"/>
          <w:szCs w:val="17"/>
        </w:rPr>
      </w:pPr>
      <w:r>
        <w:rPr>
          <w:rFonts w:ascii="Times New Roman" w:hAnsi="Times New Roman"/>
          <w:sz w:val="17"/>
          <w:szCs w:val="17"/>
        </w:rPr>
        <w:t>При наступлении обстоятельств, вызванных действием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стороны освобождаются от обязательств по настоящему Договору на время существования таких обстоятельств.</w:t>
      </w:r>
    </w:p>
    <w:p>
      <w:pPr>
        <w:pStyle w:val="PlainText"/>
        <w:numPr>
          <w:ilvl w:val="1"/>
          <w:numId w:val="1"/>
        </w:numPr>
        <w:ind w:left="0" w:hanging="0"/>
        <w:jc w:val="both"/>
        <w:rPr>
          <w:rFonts w:ascii="Times New Roman" w:hAnsi="Times New Roman"/>
          <w:sz w:val="17"/>
          <w:szCs w:val="17"/>
        </w:rPr>
      </w:pPr>
      <w:r>
        <w:rPr>
          <w:rFonts w:ascii="Times New Roman" w:hAnsi="Times New Roman"/>
          <w:sz w:val="17"/>
          <w:szCs w:val="17"/>
        </w:rPr>
        <w:t>Сторона, ссылающаяся на обстоятельства непреодолимой силы, обязана немедленно в письменной форме проинформировать другую сторону о наступлении данных обстоятельств, с приложением документов, подтверждающих наступление данных обстоятельств.</w:t>
      </w:r>
    </w:p>
    <w:p>
      <w:pPr>
        <w:pStyle w:val="PlainText"/>
        <w:numPr>
          <w:ilvl w:val="0"/>
          <w:numId w:val="1"/>
        </w:numPr>
        <w:jc w:val="both"/>
        <w:rPr>
          <w:rFonts w:ascii="Times New Roman" w:hAnsi="Times New Roman"/>
          <w:b/>
          <w:b/>
          <w:sz w:val="17"/>
          <w:szCs w:val="17"/>
        </w:rPr>
      </w:pPr>
      <w:r>
        <w:rPr>
          <w:rFonts w:ascii="Times New Roman" w:hAnsi="Times New Roman"/>
          <w:b/>
          <w:sz w:val="17"/>
          <w:szCs w:val="17"/>
        </w:rPr>
        <w:t>СРОК ДЕЙСТВИЯ ДОГОВОРА. ЗАКЛЮЧИТЕЛЬНЫЕ ПОЛОЖЕНИЯ.</w:t>
      </w:r>
    </w:p>
    <w:p>
      <w:pPr>
        <w:pStyle w:val="Normal"/>
        <w:numPr>
          <w:ilvl w:val="1"/>
          <w:numId w:val="1"/>
        </w:numPr>
        <w:ind w:left="0" w:hanging="0"/>
        <w:jc w:val="both"/>
        <w:rPr>
          <w:sz w:val="17"/>
          <w:szCs w:val="17"/>
        </w:rPr>
      </w:pPr>
      <w:r>
        <w:rPr>
          <w:sz w:val="17"/>
          <w:szCs w:val="17"/>
        </w:rPr>
        <w:t>Настоящий Договор вступает в силу с момента его подписания обеими сторонами и действует до 31.12.2021 г. Действие настоящего договора продлевается на каждый последующий календарный год, если ни одна из сторон за 15 дней до истечения срока действия договора письменно не известит другую сторону о прекращении действия договора.</w:t>
      </w:r>
    </w:p>
    <w:p>
      <w:pPr>
        <w:pStyle w:val="Normal"/>
        <w:numPr>
          <w:ilvl w:val="1"/>
          <w:numId w:val="1"/>
        </w:numPr>
        <w:ind w:left="0" w:hanging="0"/>
        <w:jc w:val="both"/>
        <w:rPr>
          <w:sz w:val="17"/>
          <w:szCs w:val="17"/>
        </w:rPr>
      </w:pPr>
      <w:r>
        <w:rPr>
          <w:sz w:val="17"/>
          <w:szCs w:val="17"/>
        </w:rPr>
        <w:t>Споры, возникшие из настоящего Договора, подлежат рассмотрению в экономическом суде города Гомеля. Сторона, у которой изменились банковские, почтовые реквизиты или телефоны, обязана в течение пяти дней с момента изменений письменно уведомить об этом другую сторону. Досудебный претензионный порядок урегулирования споров сторонами не применяется.</w:t>
      </w:r>
    </w:p>
    <w:p>
      <w:pPr>
        <w:pStyle w:val="Normal"/>
        <w:numPr>
          <w:ilvl w:val="1"/>
          <w:numId w:val="1"/>
        </w:numPr>
        <w:ind w:left="0" w:hanging="0"/>
        <w:jc w:val="both"/>
        <w:rPr>
          <w:sz w:val="17"/>
          <w:szCs w:val="17"/>
        </w:rPr>
      </w:pPr>
      <w:r>
        <w:rPr>
          <w:sz w:val="17"/>
          <w:szCs w:val="17"/>
        </w:rPr>
        <w:t>Договор составлен в двух экземплярах, имеющих одинаковую юридическую силу, по одному экземпляру для каждой стороны.</w:t>
      </w:r>
    </w:p>
    <w:p>
      <w:pPr>
        <w:pStyle w:val="PlainText"/>
        <w:numPr>
          <w:ilvl w:val="0"/>
          <w:numId w:val="1"/>
        </w:numPr>
        <w:jc w:val="both"/>
        <w:rPr>
          <w:rFonts w:ascii="Times New Roman" w:hAnsi="Times New Roman"/>
          <w:b/>
          <w:b/>
          <w:sz w:val="18"/>
          <w:szCs w:val="18"/>
        </w:rPr>
      </w:pPr>
      <w:r>
        <w:rPr>
          <w:rFonts w:ascii="Times New Roman" w:hAnsi="Times New Roman"/>
          <w:b/>
          <w:sz w:val="18"/>
          <w:szCs w:val="18"/>
        </w:rPr>
        <w:t>РЕКВИЗИТЫ СТОРОН.</w:t>
      </w:r>
    </w:p>
    <w:tbl>
      <w:tblPr>
        <w:tblpPr w:vertAnchor="text" w:horzAnchor="text" w:leftFromText="180" w:rightFromText="180" w:tblpX="0" w:tblpY="1"/>
        <w:tblW w:w="2250" w:type="pct"/>
        <w:jc w:val="left"/>
        <w:tblInd w:w="108" w:type="dxa"/>
        <w:tblLayout w:type="fixed"/>
        <w:tblCellMar>
          <w:top w:w="0" w:type="dxa"/>
          <w:left w:w="108" w:type="dxa"/>
          <w:bottom w:w="0" w:type="dxa"/>
          <w:right w:w="108" w:type="dxa"/>
        </w:tblCellMar>
        <w:tblLook w:firstRow="0" w:noVBand="0" w:lastRow="0" w:firstColumn="0" w:lastColumn="0" w:noHBand="0" w:val="0000"/>
      </w:tblPr>
      <w:tblGrid>
        <w:gridCol w:w="4337"/>
      </w:tblGrid>
      <w:tr>
        <w:trPr>
          <w:trHeight w:val="111" w:hRule="atLeast"/>
        </w:trPr>
        <w:tc>
          <w:tcPr>
            <w:tcW w:w="4337" w:type="dxa"/>
            <w:tcBorders/>
          </w:tcPr>
          <w:p>
            <w:pPr>
              <w:pStyle w:val="Normal"/>
              <w:widowControl w:val="false"/>
              <w:jc w:val="both"/>
              <w:rPr>
                <w:b/>
                <w:b/>
                <w:sz w:val="18"/>
                <w:szCs w:val="18"/>
              </w:rPr>
            </w:pPr>
            <w:r>
              <w:rPr>
                <w:b/>
                <w:caps/>
                <w:sz w:val="18"/>
                <w:szCs w:val="18"/>
              </w:rPr>
              <w:t>Поставщик:</w:t>
            </w:r>
          </w:p>
        </w:tc>
      </w:tr>
      <w:tr>
        <w:trPr>
          <w:trHeight w:val="323" w:hRule="atLeast"/>
        </w:trPr>
        <w:tc>
          <w:tcPr>
            <w:tcW w:w="4337" w:type="dxa"/>
            <w:vMerge w:val="restart"/>
            <w:tcBorders/>
          </w:tcPr>
          <w:p>
            <w:pPr>
              <w:pStyle w:val="PlainText"/>
              <w:widowControl w:val="false"/>
              <w:jc w:val="both"/>
              <w:rPr>
                <w:rFonts w:ascii="Times New Roman" w:hAnsi="Times New Roman"/>
                <w:b/>
                <w:b/>
                <w:sz w:val="18"/>
                <w:szCs w:val="18"/>
                <w:u w:val="single"/>
              </w:rPr>
            </w:pPr>
            <w:r>
              <w:rPr>
                <w:rFonts w:ascii="Times New Roman" w:hAnsi="Times New Roman"/>
                <w:b/>
                <w:sz w:val="18"/>
                <w:szCs w:val="18"/>
                <w:u w:val="single"/>
              </w:rPr>
              <w:t xml:space="preserve"> </w:t>
            </w:r>
            <w:r>
              <w:rPr>
                <w:rFonts w:ascii="Times New Roman" w:hAnsi="Times New Roman"/>
                <w:b/>
                <w:sz w:val="18"/>
                <w:szCs w:val="18"/>
                <w:u w:val="single"/>
              </w:rPr>
              <w:t>ООО «АльфаБел-групп»</w:t>
            </w:r>
          </w:p>
          <w:p>
            <w:pPr>
              <w:pStyle w:val="PlainText"/>
              <w:widowControl w:val="false"/>
              <w:jc w:val="both"/>
              <w:rPr>
                <w:rFonts w:ascii="Times New Roman" w:hAnsi="Times New Roman"/>
                <w:sz w:val="18"/>
                <w:szCs w:val="18"/>
              </w:rPr>
            </w:pPr>
            <w:r>
              <w:rPr>
                <w:rFonts w:ascii="Times New Roman" w:hAnsi="Times New Roman"/>
                <w:sz w:val="18"/>
                <w:szCs w:val="18"/>
              </w:rPr>
              <w:t>246028, г.Гомель, ул.Кожара, 38А</w:t>
            </w:r>
          </w:p>
          <w:p>
            <w:pPr>
              <w:pStyle w:val="Normal"/>
              <w:widowControl w:val="false"/>
              <w:tabs>
                <w:tab w:val="clear" w:pos="708"/>
                <w:tab w:val="left" w:pos="4678" w:leader="none"/>
              </w:tabs>
              <w:rPr>
                <w:sz w:val="18"/>
                <w:szCs w:val="18"/>
              </w:rPr>
            </w:pPr>
            <w:r>
              <w:rPr>
                <w:sz w:val="18"/>
                <w:szCs w:val="18"/>
              </w:rPr>
              <w:t>р/с  р/с: BY42IRJS 3012 0299 4010 0000 0933 в</w:t>
              <w:br/>
              <w:t>ОАО «СтатусБанк»</w:t>
              <w:br/>
            </w:r>
            <w:r>
              <w:rPr>
                <w:rStyle w:val="Style19"/>
                <w:sz w:val="18"/>
                <w:szCs w:val="18"/>
              </w:rPr>
              <w:t>БИК</w:t>
            </w:r>
            <w:r>
              <w:rPr>
                <w:sz w:val="18"/>
                <w:szCs w:val="18"/>
              </w:rPr>
              <w:t xml:space="preserve"> IRJSBY22, </w:t>
            </w:r>
            <w:r>
              <w:rPr>
                <w:rStyle w:val="Style19"/>
                <w:sz w:val="18"/>
                <w:szCs w:val="18"/>
              </w:rPr>
              <w:t>УНП</w:t>
            </w:r>
            <w:r>
              <w:rPr>
                <w:sz w:val="18"/>
                <w:szCs w:val="18"/>
              </w:rPr>
              <w:t xml:space="preserve"> 491328809</w:t>
            </w:r>
          </w:p>
          <w:p>
            <w:pPr>
              <w:pStyle w:val="Normal"/>
              <w:widowControl w:val="false"/>
              <w:tabs>
                <w:tab w:val="clear" w:pos="708"/>
                <w:tab w:val="left" w:pos="4678" w:leader="none"/>
              </w:tabs>
              <w:rPr>
                <w:sz w:val="18"/>
                <w:szCs w:val="18"/>
              </w:rPr>
            </w:pPr>
            <w:r>
              <w:rPr>
                <w:sz w:val="18"/>
                <w:szCs w:val="18"/>
              </w:rPr>
              <w:t>Моб. Тел. +375 (29) 134-22-98.</w:t>
            </w:r>
          </w:p>
          <w:p>
            <w:pPr>
              <w:pStyle w:val="Normal"/>
              <w:widowControl w:val="false"/>
              <w:rPr>
                <w:spacing w:val="-4"/>
                <w:sz w:val="18"/>
                <w:szCs w:val="18"/>
              </w:rPr>
            </w:pPr>
            <w:r>
              <w:rPr>
                <w:spacing w:val="-4"/>
                <w:sz w:val="18"/>
                <w:szCs w:val="18"/>
              </w:rPr>
              <w:t>Тел: 8-0232-73-00-15.</w:t>
            </w:r>
          </w:p>
          <w:p>
            <w:pPr>
              <w:pStyle w:val="Style26"/>
              <w:widowControl w:val="false"/>
              <w:rPr>
                <w:i/>
                <w:i/>
                <w:color w:val="002060"/>
                <w:sz w:val="18"/>
                <w:szCs w:val="18"/>
              </w:rPr>
            </w:pPr>
            <w:r>
              <w:rPr>
                <w:i/>
                <w:color w:val="002060"/>
                <w:sz w:val="18"/>
                <w:szCs w:val="18"/>
                <w:lang w:val="en-US"/>
              </w:rPr>
              <w:t>e</w:t>
            </w:r>
            <w:r>
              <w:rPr>
                <w:i/>
                <w:color w:val="002060"/>
                <w:sz w:val="18"/>
                <w:szCs w:val="18"/>
              </w:rPr>
              <w:t>-</w:t>
            </w:r>
            <w:r>
              <w:rPr>
                <w:i/>
                <w:color w:val="002060"/>
                <w:sz w:val="18"/>
                <w:szCs w:val="18"/>
                <w:lang w:val="en-US"/>
              </w:rPr>
              <w:t>mail</w:t>
            </w:r>
            <w:r>
              <w:rPr>
                <w:i/>
                <w:color w:val="002060"/>
                <w:sz w:val="18"/>
                <w:szCs w:val="18"/>
              </w:rPr>
              <w:t xml:space="preserve">: </w:t>
            </w:r>
            <w:r>
              <w:rPr>
                <w:i/>
                <w:color w:val="333333"/>
                <w:sz w:val="18"/>
                <w:szCs w:val="18"/>
                <w:lang w:val="en-US"/>
              </w:rPr>
              <w:t>alfabelgrup</w:t>
            </w:r>
            <w:r>
              <w:rPr>
                <w:i/>
                <w:color w:val="333333"/>
                <w:sz w:val="18"/>
                <w:szCs w:val="18"/>
              </w:rPr>
              <w:t>@</w:t>
            </w:r>
            <w:r>
              <w:rPr>
                <w:i/>
                <w:color w:val="333333"/>
                <w:sz w:val="18"/>
                <w:szCs w:val="18"/>
                <w:lang w:val="en-US"/>
              </w:rPr>
              <w:t>mail</w:t>
            </w:r>
            <w:r>
              <w:rPr>
                <w:i/>
                <w:color w:val="333333"/>
                <w:sz w:val="18"/>
                <w:szCs w:val="18"/>
              </w:rPr>
              <w:t>.</w:t>
            </w:r>
            <w:r>
              <w:rPr>
                <w:i/>
                <w:color w:val="333333"/>
                <w:sz w:val="18"/>
                <w:szCs w:val="18"/>
                <w:lang w:val="en-US"/>
              </w:rPr>
              <w:t>ru</w:t>
            </w:r>
          </w:p>
          <w:p>
            <w:pPr>
              <w:pStyle w:val="Normal"/>
              <w:widowControl w:val="false"/>
              <w:tabs>
                <w:tab w:val="clear" w:pos="708"/>
                <w:tab w:val="left" w:pos="4678" w:leader="none"/>
              </w:tabs>
              <w:rPr>
                <w:i/>
                <w:i/>
                <w:sz w:val="18"/>
                <w:szCs w:val="18"/>
                <w:u w:val="single"/>
              </w:rPr>
            </w:pPr>
            <w:r>
              <w:rPr>
                <w:i/>
                <w:sz w:val="18"/>
                <w:szCs w:val="18"/>
                <w:u w:val="single"/>
              </w:rPr>
              <w:t>Сайт: альфабелгрупп.бел</w:t>
            </w:r>
          </w:p>
          <w:p>
            <w:pPr>
              <w:pStyle w:val="Normal"/>
              <w:widowControl w:val="false"/>
              <w:rPr>
                <w:spacing w:val="-4"/>
                <w:sz w:val="18"/>
                <w:szCs w:val="18"/>
                <w:u w:val="single"/>
              </w:rPr>
            </w:pPr>
            <w:r>
              <w:rPr>
                <w:spacing w:val="-4"/>
                <w:sz w:val="18"/>
                <w:szCs w:val="18"/>
                <w:u w:val="single"/>
              </w:rPr>
            </w:r>
          </w:p>
          <w:p>
            <w:pPr>
              <w:pStyle w:val="Normal"/>
              <w:widowControl w:val="false"/>
              <w:rPr>
                <w:spacing w:val="-4"/>
                <w:sz w:val="18"/>
                <w:szCs w:val="18"/>
                <w:u w:val="single"/>
              </w:rPr>
            </w:pPr>
            <w:r>
              <w:rPr>
                <w:spacing w:val="-4"/>
                <w:sz w:val="18"/>
                <w:szCs w:val="18"/>
                <w:u w:val="single"/>
              </w:rPr>
            </w:r>
          </w:p>
          <w:p>
            <w:pPr>
              <w:pStyle w:val="Normal"/>
              <w:widowControl w:val="false"/>
              <w:rPr>
                <w:spacing w:val="-4"/>
                <w:sz w:val="18"/>
                <w:szCs w:val="18"/>
                <w:u w:val="single"/>
              </w:rPr>
            </w:pPr>
            <w:r>
              <w:rPr>
                <w:sz w:val="18"/>
                <w:szCs w:val="18"/>
              </w:rPr>
              <w:t>Директор __________________А.В. Чешейко</w:t>
            </w:r>
          </w:p>
          <w:p>
            <w:pPr>
              <w:pStyle w:val="Normal"/>
              <w:widowControl w:val="false"/>
              <w:rPr>
                <w:spacing w:val="-4"/>
                <w:sz w:val="18"/>
                <w:szCs w:val="18"/>
                <w:u w:val="single"/>
              </w:rPr>
            </w:pPr>
            <w:r>
              <w:rPr>
                <w:kern w:val="2"/>
                <w:sz w:val="18"/>
                <w:szCs w:val="18"/>
              </w:rPr>
              <w:t xml:space="preserve">                            </w:t>
            </w:r>
            <w:r>
              <w:rPr>
                <w:kern w:val="2"/>
                <w:sz w:val="18"/>
                <w:szCs w:val="18"/>
              </w:rPr>
              <w:t>М.П.</w:t>
            </w:r>
          </w:p>
          <w:p>
            <w:pPr>
              <w:pStyle w:val="Normal"/>
              <w:widowControl w:val="false"/>
              <w:rPr>
                <w:spacing w:val="-4"/>
                <w:sz w:val="18"/>
                <w:szCs w:val="18"/>
                <w:u w:val="single"/>
              </w:rPr>
            </w:pPr>
            <w:r>
              <w:rPr>
                <w:spacing w:val="-4"/>
                <w:sz w:val="18"/>
                <w:szCs w:val="18"/>
                <w:u w:val="single"/>
              </w:rPr>
            </w:r>
          </w:p>
          <w:p>
            <w:pPr>
              <w:pStyle w:val="Normal"/>
              <w:widowControl w:val="false"/>
              <w:rPr>
                <w:spacing w:val="-4"/>
                <w:sz w:val="18"/>
                <w:szCs w:val="18"/>
                <w:u w:val="single"/>
              </w:rPr>
            </w:pPr>
            <w:r>
              <w:rPr>
                <w:spacing w:val="-4"/>
                <w:sz w:val="18"/>
                <w:szCs w:val="18"/>
                <w:u w:val="single"/>
              </w:rPr>
            </w:r>
          </w:p>
          <w:p>
            <w:pPr>
              <w:pStyle w:val="Normal"/>
              <w:widowControl w:val="false"/>
              <w:rPr>
                <w:spacing w:val="-4"/>
                <w:sz w:val="18"/>
                <w:szCs w:val="18"/>
                <w:u w:val="single"/>
              </w:rPr>
            </w:pPr>
            <w:r>
              <w:rPr>
                <w:spacing w:val="-4"/>
                <w:sz w:val="18"/>
                <w:szCs w:val="18"/>
                <w:u w:val="single"/>
              </w:rPr>
            </w:r>
          </w:p>
        </w:tc>
      </w:tr>
      <w:tr>
        <w:trPr>
          <w:trHeight w:val="323" w:hRule="atLeast"/>
        </w:trPr>
        <w:tc>
          <w:tcPr>
            <w:tcW w:w="4337" w:type="dxa"/>
            <w:vMerge w:val="continue"/>
            <w:tcBorders/>
            <w:vAlign w:val="center"/>
          </w:tcPr>
          <w:p>
            <w:pPr>
              <w:pStyle w:val="PlainText"/>
              <w:widowControl w:val="false"/>
              <w:jc w:val="both"/>
              <w:rPr>
                <w:rFonts w:ascii="Times New Roman" w:hAnsi="Times New Roman"/>
                <w:sz w:val="18"/>
                <w:szCs w:val="18"/>
              </w:rPr>
            </w:pPr>
            <w:r>
              <w:rPr>
                <w:rFonts w:ascii="Times New Roman" w:hAnsi="Times New Roman"/>
                <w:sz w:val="18"/>
                <w:szCs w:val="18"/>
              </w:rPr>
            </w:r>
          </w:p>
        </w:tc>
      </w:tr>
      <w:tr>
        <w:trPr>
          <w:trHeight w:val="323" w:hRule="atLeast"/>
        </w:trPr>
        <w:tc>
          <w:tcPr>
            <w:tcW w:w="4337" w:type="dxa"/>
            <w:vMerge w:val="continue"/>
            <w:tcBorders/>
            <w:vAlign w:val="center"/>
          </w:tcPr>
          <w:p>
            <w:pPr>
              <w:pStyle w:val="PlainText"/>
              <w:widowControl w:val="false"/>
              <w:jc w:val="both"/>
              <w:rPr>
                <w:rFonts w:ascii="Times New Roman" w:hAnsi="Times New Roman"/>
                <w:sz w:val="18"/>
                <w:szCs w:val="18"/>
              </w:rPr>
            </w:pPr>
            <w:r>
              <w:rPr>
                <w:rFonts w:ascii="Times New Roman" w:hAnsi="Times New Roman"/>
                <w:sz w:val="18"/>
                <w:szCs w:val="18"/>
              </w:rPr>
            </w:r>
          </w:p>
        </w:tc>
      </w:tr>
      <w:tr>
        <w:trPr>
          <w:trHeight w:val="323" w:hRule="atLeast"/>
        </w:trPr>
        <w:tc>
          <w:tcPr>
            <w:tcW w:w="4337" w:type="dxa"/>
            <w:vMerge w:val="continue"/>
            <w:tcBorders/>
            <w:vAlign w:val="center"/>
          </w:tcPr>
          <w:p>
            <w:pPr>
              <w:pStyle w:val="PlainText"/>
              <w:widowControl w:val="false"/>
              <w:jc w:val="both"/>
              <w:rPr>
                <w:rFonts w:ascii="Times New Roman" w:hAnsi="Times New Roman"/>
                <w:sz w:val="18"/>
                <w:szCs w:val="18"/>
              </w:rPr>
            </w:pPr>
            <w:r>
              <w:rPr>
                <w:rFonts w:ascii="Times New Roman" w:hAnsi="Times New Roman"/>
                <w:sz w:val="18"/>
                <w:szCs w:val="18"/>
              </w:rPr>
            </w:r>
          </w:p>
        </w:tc>
      </w:tr>
      <w:tr>
        <w:trPr>
          <w:trHeight w:val="323" w:hRule="atLeast"/>
        </w:trPr>
        <w:tc>
          <w:tcPr>
            <w:tcW w:w="4337" w:type="dxa"/>
            <w:vMerge w:val="continue"/>
            <w:tcBorders/>
            <w:vAlign w:val="center"/>
          </w:tcPr>
          <w:p>
            <w:pPr>
              <w:pStyle w:val="PlainText"/>
              <w:widowControl w:val="false"/>
              <w:jc w:val="both"/>
              <w:rPr>
                <w:rFonts w:ascii="Times New Roman" w:hAnsi="Times New Roman"/>
                <w:sz w:val="18"/>
                <w:szCs w:val="18"/>
              </w:rPr>
            </w:pPr>
            <w:r>
              <w:rPr>
                <w:rFonts w:ascii="Times New Roman" w:hAnsi="Times New Roman"/>
                <w:sz w:val="18"/>
                <w:szCs w:val="18"/>
              </w:rPr>
            </w:r>
          </w:p>
        </w:tc>
      </w:tr>
      <w:tr>
        <w:trPr>
          <w:trHeight w:val="1011" w:hRule="atLeast"/>
        </w:trPr>
        <w:tc>
          <w:tcPr>
            <w:tcW w:w="4337" w:type="dxa"/>
            <w:vMerge w:val="continue"/>
            <w:tcBorders/>
            <w:vAlign w:val="center"/>
          </w:tcPr>
          <w:p>
            <w:pPr>
              <w:pStyle w:val="PlainText"/>
              <w:widowControl w:val="false"/>
              <w:jc w:val="both"/>
              <w:rPr>
                <w:rFonts w:ascii="Times New Roman" w:hAnsi="Times New Roman"/>
                <w:sz w:val="18"/>
                <w:szCs w:val="18"/>
              </w:rPr>
            </w:pPr>
            <w:r>
              <w:rPr>
                <w:rFonts w:ascii="Times New Roman" w:hAnsi="Times New Roman"/>
                <w:sz w:val="18"/>
                <w:szCs w:val="18"/>
              </w:rPr>
            </w:r>
          </w:p>
        </w:tc>
      </w:tr>
    </w:tbl>
    <w:p>
      <w:pPr>
        <w:pStyle w:val="Normal"/>
        <w:rPr>
          <w:b/>
          <w:b/>
          <w:sz w:val="18"/>
          <w:szCs w:val="18"/>
        </w:rPr>
      </w:pPr>
      <w:r/>
      <w:r>
        <w:rPr>
          <w:b/>
          <w:sz w:val="18"/>
          <w:szCs w:val="18"/>
        </w:rPr>
        <w:t xml:space="preserve">               </w:t>
      </w:r>
      <w:bookmarkStart w:id="0" w:name="_GoBack"/>
      <w:bookmarkEnd w:id="0"/>
      <w:r>
        <w:rPr>
          <w:b/>
          <w:sz w:val="18"/>
          <w:szCs w:val="18"/>
        </w:rPr>
        <w:t xml:space="preserve">ПОКУПАТЕЛЬ: </w:t>
      </w:r>
    </w:p>
    <w:p>
      <w:pPr>
        <w:pStyle w:val="Normal"/>
        <w:rPr>
          <w:rFonts w:ascii="Arial" w:hAnsi="Arial" w:cs="Arial"/>
          <w:sz w:val="18"/>
          <w:szCs w:val="18"/>
        </w:rPr>
      </w:pPr>
      <w:r>
        <w:rPr>
          <w:rFonts w:cs="Arial" w:ascii="Arial" w:hAnsi="Arial"/>
          <w:sz w:val="18"/>
          <w:szCs w:val="18"/>
        </w:rPr>
        <w:t xml:space="preserve">  </w:t>
      </w:r>
    </w:p>
    <w:p>
      <w:pPr>
        <w:pStyle w:val="Normal"/>
        <w:rPr>
          <w:sz w:val="18"/>
          <w:szCs w:val="18"/>
        </w:rPr>
      </w:pPr>
      <w:r>
        <w:rPr>
          <w:sz w:val="18"/>
          <w:szCs w:val="18"/>
        </w:rPr>
        <w:t xml:space="preserve"> </w:t>
      </w:r>
    </w:p>
    <w:p>
      <w:pPr>
        <w:pStyle w:val="Normal"/>
        <w:rPr>
          <w:kern w:val="2"/>
          <w:sz w:val="18"/>
          <w:szCs w:val="18"/>
        </w:rPr>
      </w:pPr>
      <w:r>
        <w:rPr>
          <w:kern w:val="2"/>
          <w:sz w:val="18"/>
          <w:szCs w:val="18"/>
        </w:rPr>
      </w:r>
    </w:p>
    <w:p>
      <w:pPr>
        <w:pStyle w:val="Normal"/>
        <w:rPr>
          <w:kern w:val="2"/>
          <w:sz w:val="18"/>
          <w:szCs w:val="18"/>
        </w:rPr>
      </w:pPr>
      <w:r>
        <w:rPr>
          <w:kern w:val="2"/>
          <w:sz w:val="18"/>
          <w:szCs w:val="18"/>
        </w:rPr>
      </w:r>
    </w:p>
    <w:p>
      <w:pPr>
        <w:pStyle w:val="Normal"/>
        <w:tabs>
          <w:tab w:val="clear" w:pos="708"/>
          <w:tab w:val="left" w:pos="1495" w:leader="none"/>
        </w:tabs>
        <w:rPr/>
      </w:pPr>
      <w:r>
        <w:rPr/>
      </w:r>
    </w:p>
    <w:sectPr>
      <w:footerReference w:type="default" r:id="rId2"/>
      <w:type w:val="nextPage"/>
      <w:pgSz w:w="11906" w:h="16838"/>
      <w:pgMar w:left="1701" w:right="567" w:gutter="0" w:header="0" w:top="113" w:footer="0" w:bottom="5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right"/>
      <w:rPr>
        <w:sz w:val="12"/>
      </w:rPr>
    </w:pPr>
    <w:r>
      <w:rPr>
        <w:sz w:val="12"/>
      </w:rPr>
    </w:r>
  </w:p>
  <w:p>
    <w:pPr>
      <w:pStyle w:val="Style27"/>
      <w:jc w:val="right"/>
      <w:rPr>
        <w:sz w:val="12"/>
      </w:rPr>
    </w:pPr>
    <w:r>
      <w:rPr>
        <w:sz w:val="12"/>
      </w:rPr>
    </w:r>
  </w:p>
  <w:p>
    <w:pPr>
      <w:pStyle w:val="Style27"/>
      <w:rPr/>
    </w:pPr>
    <w:r>
      <w:rPr/>
      <w:tab/>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450"/>
        </w:tabs>
        <w:ind w:left="450" w:hanging="450"/>
      </w:pPr>
      <w:rPr/>
    </w:lvl>
    <w:lvl w:ilvl="1">
      <w:start w:val="1"/>
      <w:numFmt w:val="decimal"/>
      <w:lvlText w:val="%1.%2."/>
      <w:lvlJc w:val="left"/>
      <w:pPr>
        <w:tabs>
          <w:tab w:val="num" w:pos="450"/>
        </w:tabs>
        <w:ind w:left="450" w:hanging="450"/>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800"/>
        </w:tabs>
        <w:ind w:left="1800" w:hanging="180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4233"/>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1f4233"/>
    <w:rPr>
      <w:rFonts w:ascii="Times New Roman" w:hAnsi="Times New Roman" w:eastAsia="Times New Roman" w:cs="Times New Roman"/>
      <w:sz w:val="20"/>
      <w:szCs w:val="20"/>
      <w:lang w:eastAsia="ru-RU"/>
    </w:rPr>
  </w:style>
  <w:style w:type="character" w:styleId="Style15" w:customStyle="1">
    <w:name w:val="Нижний колонтитул Знак"/>
    <w:basedOn w:val="DefaultParagraphFont"/>
    <w:qFormat/>
    <w:rsid w:val="001f4233"/>
    <w:rPr>
      <w:rFonts w:ascii="Times New Roman" w:hAnsi="Times New Roman" w:eastAsia="Times New Roman" w:cs="Times New Roman"/>
      <w:sz w:val="20"/>
      <w:szCs w:val="20"/>
      <w:lang w:eastAsia="ru-RU"/>
    </w:rPr>
  </w:style>
  <w:style w:type="character" w:styleId="Style16" w:customStyle="1">
    <w:name w:val="Текст Знак"/>
    <w:basedOn w:val="DefaultParagraphFont"/>
    <w:link w:val="PlainText"/>
    <w:qFormat/>
    <w:rsid w:val="001f4233"/>
    <w:rPr>
      <w:rFonts w:ascii="Courier New" w:hAnsi="Courier New" w:eastAsia="Times New Roman" w:cs="Times New Roman"/>
      <w:sz w:val="20"/>
      <w:szCs w:val="20"/>
      <w:lang w:eastAsia="ru-RU"/>
    </w:rPr>
  </w:style>
  <w:style w:type="character" w:styleId="Style17">
    <w:name w:val="Интернет-ссылка"/>
    <w:basedOn w:val="DefaultParagraphFont"/>
    <w:uiPriority w:val="99"/>
    <w:unhideWhenUsed/>
    <w:rsid w:val="002105f2"/>
    <w:rPr>
      <w:color w:val="0000FF" w:themeColor="hyperlink"/>
      <w:u w:val="single"/>
    </w:rPr>
  </w:style>
  <w:style w:type="character" w:styleId="Style18" w:customStyle="1">
    <w:name w:val="Основной текст Знак"/>
    <w:basedOn w:val="DefaultParagraphFont"/>
    <w:qFormat/>
    <w:rsid w:val="009e49fa"/>
    <w:rPr>
      <w:rFonts w:ascii="Times New Roman" w:hAnsi="Times New Roman" w:eastAsia="Times New Roman" w:cs="Times New Roman"/>
      <w:b/>
      <w:sz w:val="24"/>
      <w:szCs w:val="20"/>
      <w:lang w:eastAsia="ru-RU"/>
    </w:rPr>
  </w:style>
  <w:style w:type="character" w:styleId="Style19">
    <w:name w:val="Выделение жирным"/>
    <w:qFormat/>
    <w:rPr>
      <w:b/>
      <w:bCs/>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link w:val="Style18"/>
    <w:rsid w:val="009e49fa"/>
    <w:pPr>
      <w:jc w:val="both"/>
    </w:pPr>
    <w:rPr>
      <w:b/>
      <w:sz w:val="24"/>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lang w:val="zxx" w:eastAsia="zxx" w:bidi="zxx"/>
    </w:rPr>
  </w:style>
  <w:style w:type="paragraph" w:styleId="Style25">
    <w:name w:val="Колонтитул"/>
    <w:basedOn w:val="Normal"/>
    <w:qFormat/>
    <w:pPr/>
    <w:rPr/>
  </w:style>
  <w:style w:type="paragraph" w:styleId="Style26">
    <w:name w:val="Header"/>
    <w:basedOn w:val="Normal"/>
    <w:link w:val="Style14"/>
    <w:uiPriority w:val="99"/>
    <w:rsid w:val="001f4233"/>
    <w:pPr>
      <w:tabs>
        <w:tab w:val="clear" w:pos="708"/>
        <w:tab w:val="center" w:pos="4153" w:leader="none"/>
        <w:tab w:val="right" w:pos="8306" w:leader="none"/>
      </w:tabs>
    </w:pPr>
    <w:rPr/>
  </w:style>
  <w:style w:type="paragraph" w:styleId="Style27">
    <w:name w:val="Footer"/>
    <w:basedOn w:val="Normal"/>
    <w:link w:val="Style15"/>
    <w:rsid w:val="001f4233"/>
    <w:pPr>
      <w:tabs>
        <w:tab w:val="clear" w:pos="708"/>
        <w:tab w:val="center" w:pos="4153" w:leader="none"/>
        <w:tab w:val="right" w:pos="8306" w:leader="none"/>
      </w:tabs>
    </w:pPr>
    <w:rPr/>
  </w:style>
  <w:style w:type="paragraph" w:styleId="PlainText">
    <w:name w:val="Plain Text"/>
    <w:basedOn w:val="Normal"/>
    <w:link w:val="Style16"/>
    <w:qFormat/>
    <w:rsid w:val="001f4233"/>
    <w:pPr/>
    <w:rPr>
      <w:rFonts w:ascii="Courier New" w:hAnsi="Courier New"/>
    </w:rPr>
  </w:style>
  <w:style w:type="paragraph" w:styleId="Justify" w:customStyle="1">
    <w:name w:val="justify"/>
    <w:basedOn w:val="Normal"/>
    <w:qFormat/>
    <w:rsid w:val="00eb694d"/>
    <w:pPr>
      <w:ind w:firstLine="567"/>
      <w:jc w:val="both"/>
    </w:pPr>
    <w:rPr>
      <w:sz w:val="24"/>
      <w:szCs w:val="24"/>
      <w:lang w:val="be-BY" w:eastAsia="be-BY"/>
    </w:rPr>
  </w:style>
  <w:style w:type="paragraph" w:styleId="ListParagraph">
    <w:name w:val="List Paragraph"/>
    <w:basedOn w:val="Normal"/>
    <w:uiPriority w:val="34"/>
    <w:qFormat/>
    <w:rsid w:val="009e49fa"/>
    <w:pPr>
      <w:spacing w:before="0" w:after="0"/>
      <w:ind w:left="720" w:hanging="0"/>
      <w:contextualSpacing/>
    </w:pPr>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376B3-4D9D-43FD-AECE-F6BE5A59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LibreOffice/7.3.2.2$Windows_X86_64 LibreOffice_project/49f2b1bff42cfccbd8f788c8dc32c1c309559be0</Application>
  <AppVersion>15.0000</AppVersion>
  <Pages>1</Pages>
  <Words>623</Words>
  <Characters>4475</Characters>
  <CharactersWithSpaces>5243</CharactersWithSpaces>
  <Paragraphs>42</Paragraphs>
  <Company>SPecialiST RePack, SanBuild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2021-04-30T09:17:00Z</dcterms:created>
  <dc:creator>Work</dc:creator>
  <dc:description/>
  <dc:language>ru-RU</dc:language>
  <cp:lastModifiedBy/>
  <cp:lastPrinted>2021-04-20T11:46:00Z</cp:lastPrinted>
  <dcterms:modified xsi:type="dcterms:W3CDTF">2022-09-05T12:42:25Z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